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6F71B" w14:textId="77777777" w:rsidR="001E5091" w:rsidRDefault="00000000">
      <w:pPr>
        <w:rPr>
          <w:rFonts w:ascii="Arial" w:eastAsia="Arial" w:hAnsi="Arial" w:cs="Arial"/>
          <w:b/>
          <w:sz w:val="30"/>
          <w:szCs w:val="30"/>
        </w:rPr>
      </w:pPr>
      <w:r>
        <w:rPr>
          <w:rFonts w:ascii="Arial" w:eastAsia="Arial" w:hAnsi="Arial" w:cs="Arial"/>
          <w:b/>
          <w:sz w:val="30"/>
          <w:szCs w:val="30"/>
        </w:rPr>
        <w:t>TERMS &amp; CONDITIONS</w:t>
      </w:r>
    </w:p>
    <w:p w14:paraId="42E2696D" w14:textId="77777777" w:rsidR="001E5091" w:rsidRDefault="00000000">
      <w:pPr>
        <w:rPr>
          <w:rFonts w:ascii="Arial" w:eastAsia="Arial" w:hAnsi="Arial" w:cs="Arial"/>
        </w:rPr>
      </w:pPr>
      <w:r>
        <w:rPr>
          <w:rFonts w:ascii="Arial" w:eastAsia="Arial" w:hAnsi="Arial" w:cs="Arial"/>
          <w:b/>
          <w:sz w:val="24"/>
          <w:szCs w:val="24"/>
        </w:rPr>
        <w:br/>
      </w:r>
      <w:r>
        <w:rPr>
          <w:rFonts w:ascii="Arial" w:eastAsia="Arial" w:hAnsi="Arial" w:cs="Arial"/>
          <w:b/>
        </w:rPr>
        <w:t>Schedule to Terms &amp; Conditions of entry</w:t>
      </w:r>
      <w:r>
        <w:rPr>
          <w:rFonts w:ascii="Arial" w:eastAsia="Arial" w:hAnsi="Arial" w:cs="Arial"/>
          <w:b/>
        </w:rPr>
        <w:br/>
      </w:r>
    </w:p>
    <w:tbl>
      <w:tblPr>
        <w:tblStyle w:val="a"/>
        <w:tblW w:w="9648" w:type="dxa"/>
        <w:tblInd w:w="-15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10"/>
        <w:gridCol w:w="7238"/>
      </w:tblGrid>
      <w:tr w:rsidR="001E5091" w14:paraId="643B2967" w14:textId="77777777" w:rsidTr="00E1183C">
        <w:trPr>
          <w:trHeight w:val="10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02F3514B"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Promotion name</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4B8263CA"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RM Williams</w:t>
            </w:r>
          </w:p>
        </w:tc>
      </w:tr>
      <w:tr w:rsidR="001E5091" w14:paraId="7C6D630D" w14:textId="77777777" w:rsidTr="00E1183C">
        <w:trPr>
          <w:trHeight w:val="28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4CB05046"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Eligible States/Territories</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230470F0"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National</w:t>
            </w:r>
          </w:p>
        </w:tc>
      </w:tr>
      <w:tr w:rsidR="001E5091" w14:paraId="5A15620E" w14:textId="77777777" w:rsidTr="00E1183C">
        <w:trPr>
          <w:trHeight w:val="28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0B7DEEF3"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Promotion period</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79449240" w14:textId="77777777" w:rsidR="001E5091" w:rsidRPr="00E1183C" w:rsidRDefault="00000000">
            <w:pPr>
              <w:spacing w:after="240" w:line="240" w:lineRule="auto"/>
              <w:rPr>
                <w:rFonts w:ascii="Arial" w:eastAsia="Arial" w:hAnsi="Arial" w:cs="Arial"/>
                <w:sz w:val="20"/>
                <w:szCs w:val="20"/>
              </w:rPr>
            </w:pPr>
            <w:r>
              <w:rPr>
                <w:rFonts w:ascii="Arial" w:eastAsia="Arial" w:hAnsi="Arial" w:cs="Arial"/>
                <w:sz w:val="20"/>
                <w:szCs w:val="20"/>
              </w:rPr>
              <w:t xml:space="preserve">Start: 01 Aug 2025 7:00 </w:t>
            </w:r>
            <w:r w:rsidRPr="00E1183C">
              <w:rPr>
                <w:rFonts w:ascii="Arial" w:eastAsia="Arial" w:hAnsi="Arial" w:cs="Arial"/>
                <w:sz w:val="20"/>
                <w:szCs w:val="20"/>
              </w:rPr>
              <w:t>AM AEST</w:t>
            </w:r>
          </w:p>
          <w:p w14:paraId="56ABA75F" w14:textId="77777777"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End: 31 Aug 2025 11:59 PM AEST</w:t>
            </w:r>
          </w:p>
          <w:p w14:paraId="1240C6C0"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No entries will be accepted outside this time.</w:t>
            </w:r>
          </w:p>
        </w:tc>
      </w:tr>
      <w:tr w:rsidR="001E5091" w14:paraId="3A79F1BE" w14:textId="77777777" w:rsidTr="00E1183C">
        <w:trPr>
          <w:trHeight w:val="28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015F96AB"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Website address</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4B23E0F5"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www.theiconic.com.au</w:t>
            </w:r>
          </w:p>
        </w:tc>
      </w:tr>
      <w:tr w:rsidR="001E5091" w14:paraId="46586C1A" w14:textId="77777777" w:rsidTr="00E1183C">
        <w:trPr>
          <w:trHeight w:val="2010"/>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733BEA0D"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Promoter</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5C8EE15E"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Internet Services Australia 1 Pty Limited</w:t>
            </w:r>
          </w:p>
          <w:p w14:paraId="7068BBAC"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 xml:space="preserve">ABN: 50152631082 </w:t>
            </w:r>
          </w:p>
          <w:p w14:paraId="7CF49E3B"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International Towers Tower 2</w:t>
            </w:r>
            <w:r>
              <w:rPr>
                <w:rFonts w:ascii="Arial" w:eastAsia="Arial" w:hAnsi="Arial" w:cs="Arial"/>
                <w:sz w:val="20"/>
                <w:szCs w:val="20"/>
              </w:rPr>
              <w:br/>
              <w:t xml:space="preserve">200 Barangaroo Avenue </w:t>
            </w:r>
          </w:p>
          <w:p w14:paraId="4F673B3D"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Barangaroo NSW 2000</w:t>
            </w:r>
          </w:p>
        </w:tc>
      </w:tr>
      <w:tr w:rsidR="001E5091" w14:paraId="7A7B9A2A"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4937EC39"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Eligible entrants</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016E2B31"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Entry to the Promotion is open to Australian residents over the age of 18 in all eligible states/territories who fulfil the method of entry requirements.</w:t>
            </w:r>
          </w:p>
        </w:tc>
      </w:tr>
      <w:tr w:rsidR="001E5091" w14:paraId="71231F21"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72D63345"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 xml:space="preserve">Details of prizes </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1E79C6BE" w14:textId="77777777" w:rsidR="001E5091" w:rsidRPr="00E1183C" w:rsidRDefault="00000000">
            <w:pPr>
              <w:shd w:val="clear" w:color="auto" w:fill="FFFFFF"/>
              <w:spacing w:after="0" w:line="240" w:lineRule="auto"/>
              <w:ind w:left="360"/>
              <w:rPr>
                <w:rFonts w:ascii="Arial" w:eastAsia="Arial" w:hAnsi="Arial" w:cs="Arial"/>
                <w:sz w:val="20"/>
                <w:szCs w:val="20"/>
              </w:rPr>
            </w:pPr>
            <w:r w:rsidRPr="00E1183C">
              <w:rPr>
                <w:rFonts w:ascii="Arial" w:eastAsia="Arial" w:hAnsi="Arial" w:cs="Arial"/>
                <w:sz w:val="20"/>
                <w:szCs w:val="20"/>
              </w:rPr>
              <w:t>RM Williams Adelaide workshop prize package valued up to $1,600:</w:t>
            </w:r>
          </w:p>
          <w:p w14:paraId="40CA376C" w14:textId="77777777" w:rsidR="001E5091" w:rsidRPr="00E1183C" w:rsidRDefault="00000000">
            <w:pPr>
              <w:numPr>
                <w:ilvl w:val="0"/>
                <w:numId w:val="2"/>
              </w:numPr>
              <w:shd w:val="clear" w:color="auto" w:fill="FFFFFF"/>
              <w:spacing w:after="0" w:line="240" w:lineRule="auto"/>
              <w:rPr>
                <w:rFonts w:ascii="Arial" w:eastAsia="Arial" w:hAnsi="Arial" w:cs="Arial"/>
                <w:sz w:val="20"/>
                <w:szCs w:val="20"/>
              </w:rPr>
            </w:pPr>
            <w:r w:rsidRPr="00E1183C">
              <w:rPr>
                <w:rFonts w:ascii="Arial" w:eastAsia="Arial" w:hAnsi="Arial" w:cs="Arial"/>
                <w:sz w:val="20"/>
                <w:szCs w:val="20"/>
              </w:rPr>
              <w:t xml:space="preserve">2x return economy flights to Adelaide (dates subject to confirmation by RM Williams) </w:t>
            </w:r>
          </w:p>
          <w:p w14:paraId="28BD0041" w14:textId="6F199F03" w:rsidR="001E5091" w:rsidRPr="00E1183C" w:rsidRDefault="00000000">
            <w:pPr>
              <w:numPr>
                <w:ilvl w:val="0"/>
                <w:numId w:val="2"/>
              </w:numPr>
              <w:shd w:val="clear" w:color="auto" w:fill="FFFFFF"/>
              <w:spacing w:after="0" w:line="240" w:lineRule="auto"/>
              <w:rPr>
                <w:rFonts w:ascii="Arial" w:eastAsia="Arial" w:hAnsi="Arial" w:cs="Arial"/>
                <w:sz w:val="20"/>
                <w:szCs w:val="20"/>
              </w:rPr>
            </w:pPr>
            <w:r w:rsidRPr="00E1183C">
              <w:rPr>
                <w:rFonts w:ascii="Arial" w:eastAsia="Arial" w:hAnsi="Arial" w:cs="Arial"/>
                <w:sz w:val="20"/>
                <w:szCs w:val="20"/>
              </w:rPr>
              <w:t xml:space="preserve">Accommodation (twin share) in Adelaide (including transfers to/from airport) for the winner and their plus one at a </w:t>
            </w:r>
            <w:r w:rsidR="00E1183C" w:rsidRPr="00E1183C">
              <w:rPr>
                <w:rFonts w:ascii="Arial" w:eastAsia="Arial" w:hAnsi="Arial" w:cs="Arial"/>
                <w:sz w:val="20"/>
                <w:szCs w:val="20"/>
              </w:rPr>
              <w:t>5-star</w:t>
            </w:r>
            <w:r w:rsidRPr="00E1183C">
              <w:rPr>
                <w:rFonts w:ascii="Arial" w:eastAsia="Arial" w:hAnsi="Arial" w:cs="Arial"/>
                <w:sz w:val="20"/>
                <w:szCs w:val="20"/>
              </w:rPr>
              <w:t xml:space="preserve"> hotel (dates and location subject to confirmation by RM Williams) </w:t>
            </w:r>
          </w:p>
          <w:p w14:paraId="75BF852B" w14:textId="77777777" w:rsidR="001E5091" w:rsidRPr="00E1183C" w:rsidRDefault="00000000">
            <w:pPr>
              <w:numPr>
                <w:ilvl w:val="0"/>
                <w:numId w:val="2"/>
              </w:numPr>
              <w:shd w:val="clear" w:color="auto" w:fill="FFFFFF"/>
              <w:spacing w:after="0" w:line="240" w:lineRule="auto"/>
              <w:rPr>
                <w:rFonts w:ascii="Arial" w:eastAsia="Arial" w:hAnsi="Arial" w:cs="Arial"/>
                <w:sz w:val="20"/>
                <w:szCs w:val="20"/>
              </w:rPr>
            </w:pPr>
            <w:r w:rsidRPr="00E1183C">
              <w:rPr>
                <w:rFonts w:ascii="Arial" w:eastAsia="Arial" w:hAnsi="Arial" w:cs="Arial"/>
                <w:sz w:val="20"/>
                <w:szCs w:val="20"/>
              </w:rPr>
              <w:t>Workshop Experience at RM Williams for the winner and their plus one (dates subject to confirmation by RM Williams) AND</w:t>
            </w:r>
          </w:p>
          <w:p w14:paraId="4F64AE5E" w14:textId="77777777" w:rsidR="001E5091" w:rsidRPr="00E1183C" w:rsidRDefault="00000000">
            <w:pPr>
              <w:shd w:val="clear" w:color="auto" w:fill="FFFFFF"/>
              <w:spacing w:after="0" w:line="240" w:lineRule="auto"/>
              <w:ind w:left="360"/>
              <w:rPr>
                <w:rFonts w:ascii="Arial" w:eastAsia="Arial" w:hAnsi="Arial" w:cs="Arial"/>
                <w:sz w:val="20"/>
                <w:szCs w:val="20"/>
              </w:rPr>
            </w:pPr>
            <w:r w:rsidRPr="00E1183C">
              <w:rPr>
                <w:rFonts w:ascii="Arial" w:eastAsia="Arial" w:hAnsi="Arial" w:cs="Arial"/>
                <w:sz w:val="20"/>
                <w:szCs w:val="20"/>
              </w:rPr>
              <w:t>1x - $1000 THE ICONIC voucher</w:t>
            </w:r>
          </w:p>
          <w:p w14:paraId="64822DC7"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t xml:space="preserve">Prior to participation in any travel or event prize, any winner and participant may be required to sign an indemnity and waiver of liability in </w:t>
            </w:r>
            <w:proofErr w:type="spellStart"/>
            <w:r>
              <w:rPr>
                <w:rFonts w:ascii="Arial" w:eastAsia="Arial" w:hAnsi="Arial" w:cs="Arial"/>
                <w:sz w:val="20"/>
                <w:szCs w:val="20"/>
              </w:rPr>
              <w:t>favour</w:t>
            </w:r>
            <w:proofErr w:type="spellEnd"/>
            <w:r>
              <w:rPr>
                <w:rFonts w:ascii="Arial" w:eastAsia="Arial" w:hAnsi="Arial" w:cs="Arial"/>
                <w:sz w:val="20"/>
                <w:szCs w:val="20"/>
              </w:rPr>
              <w:t xml:space="preserve"> of the Promoter and all involved parties. The winner will be contacted directly by RM Williams to </w:t>
            </w:r>
            <w:proofErr w:type="spellStart"/>
            <w:r>
              <w:rPr>
                <w:rFonts w:ascii="Arial" w:eastAsia="Arial" w:hAnsi="Arial" w:cs="Arial"/>
                <w:sz w:val="20"/>
                <w:szCs w:val="20"/>
              </w:rPr>
              <w:t>organise</w:t>
            </w:r>
            <w:proofErr w:type="spellEnd"/>
            <w:r>
              <w:rPr>
                <w:rFonts w:ascii="Arial" w:eastAsia="Arial" w:hAnsi="Arial" w:cs="Arial"/>
                <w:sz w:val="20"/>
                <w:szCs w:val="20"/>
              </w:rPr>
              <w:t xml:space="preserve"> the trip to Adelaide.  </w:t>
            </w:r>
          </w:p>
        </w:tc>
      </w:tr>
      <w:tr w:rsidR="001E5091" w14:paraId="33587B92"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6B6E2E25"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lastRenderedPageBreak/>
              <w:t>Total number of prizes</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7CED36B3"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1</w:t>
            </w:r>
          </w:p>
        </w:tc>
      </w:tr>
      <w:tr w:rsidR="001E5091" w14:paraId="3C682FA0"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64896455"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Total prize value</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05DAF7FC" w14:textId="77777777"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Total prize pool (</w:t>
            </w:r>
            <w:proofErr w:type="spellStart"/>
            <w:r w:rsidRPr="00E1183C">
              <w:rPr>
                <w:rFonts w:ascii="Arial" w:eastAsia="Arial" w:hAnsi="Arial" w:cs="Arial"/>
                <w:sz w:val="20"/>
                <w:szCs w:val="20"/>
              </w:rPr>
              <w:t>inc</w:t>
            </w:r>
            <w:proofErr w:type="spellEnd"/>
            <w:r w:rsidRPr="00E1183C">
              <w:rPr>
                <w:rFonts w:ascii="Arial" w:eastAsia="Arial" w:hAnsi="Arial" w:cs="Arial"/>
                <w:sz w:val="20"/>
                <w:szCs w:val="20"/>
              </w:rPr>
              <w:t xml:space="preserve"> GST): up to $2,600.00</w:t>
            </w:r>
          </w:p>
        </w:tc>
      </w:tr>
      <w:tr w:rsidR="001E5091" w14:paraId="04B2DF3C"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03F7E5FE"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Method of entry</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583F0515" w14:textId="77777777"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To enter, an entrant must, during the promotion period:</w:t>
            </w:r>
            <w:r w:rsidRPr="00E1183C">
              <w:rPr>
                <w:rFonts w:ascii="Arial" w:eastAsia="Arial" w:hAnsi="Arial" w:cs="Arial"/>
                <w:sz w:val="20"/>
                <w:szCs w:val="20"/>
              </w:rPr>
              <w:br/>
            </w:r>
            <w:r w:rsidRPr="00E1183C">
              <w:rPr>
                <w:rFonts w:ascii="Arial" w:eastAsia="Arial" w:hAnsi="Arial" w:cs="Arial"/>
                <w:sz w:val="20"/>
                <w:szCs w:val="20"/>
              </w:rPr>
              <w:br/>
              <w:t>Spend $200 or more on RM Williams on THE ICONIC during the promotion period in the month of August 2025 to automatically receive entry for your chance to win a $1000 THE ICONIC voucher to spend on your wardrobe + a trip to Adelaide to visit the RM Williams workshop for you and a plus one.</w:t>
            </w:r>
          </w:p>
        </w:tc>
      </w:tr>
      <w:tr w:rsidR="001E5091" w14:paraId="1D2AC5E4" w14:textId="77777777" w:rsidTr="00E1183C">
        <w:trPr>
          <w:trHeight w:val="450"/>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5D2AA3C9"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Maximum number of entries</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47DA4F8E" w14:textId="77777777" w:rsidR="001E5091" w:rsidRDefault="00000000">
            <w:pPr>
              <w:spacing w:after="240" w:line="240" w:lineRule="auto"/>
              <w:rPr>
                <w:rFonts w:ascii="Arial" w:eastAsia="Arial" w:hAnsi="Arial" w:cs="Arial"/>
                <w:sz w:val="20"/>
                <w:szCs w:val="20"/>
              </w:rPr>
            </w:pPr>
            <w:r>
              <w:rPr>
                <w:rFonts w:ascii="Arial" w:eastAsia="Arial" w:hAnsi="Arial" w:cs="Arial"/>
                <w:sz w:val="20"/>
                <w:szCs w:val="20"/>
              </w:rPr>
              <w:t>Unlimited</w:t>
            </w:r>
            <w:r>
              <w:rPr>
                <w:rFonts w:ascii="Arial" w:eastAsia="Arial" w:hAnsi="Arial" w:cs="Arial"/>
                <w:sz w:val="20"/>
                <w:szCs w:val="20"/>
              </w:rPr>
              <w:br/>
            </w:r>
            <w:r>
              <w:rPr>
                <w:rFonts w:ascii="Arial" w:eastAsia="Arial" w:hAnsi="Arial" w:cs="Arial"/>
                <w:sz w:val="20"/>
                <w:szCs w:val="20"/>
              </w:rPr>
              <w:br/>
            </w:r>
          </w:p>
        </w:tc>
      </w:tr>
      <w:tr w:rsidR="001E5091" w14:paraId="0FFAC265"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0CF6845D"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Prize draw</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684090AA" w14:textId="44F62A27"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A random prize draw will occur at 12:00 PM AEDT on 06 Oct 2025</w:t>
            </w:r>
            <w:r w:rsidRPr="00E1183C">
              <w:rPr>
                <w:rFonts w:ascii="Arial" w:eastAsia="Arial" w:hAnsi="Arial" w:cs="Arial"/>
                <w:sz w:val="20"/>
                <w:szCs w:val="20"/>
              </w:rPr>
              <w:br/>
            </w:r>
            <w:r w:rsidRPr="00E1183C">
              <w:rPr>
                <w:rFonts w:ascii="Arial" w:eastAsia="Arial" w:hAnsi="Arial" w:cs="Arial"/>
                <w:sz w:val="20"/>
                <w:szCs w:val="20"/>
              </w:rPr>
              <w:br/>
              <w:t>Location of draw:</w:t>
            </w:r>
            <w:r w:rsidRPr="00E1183C">
              <w:rPr>
                <w:rFonts w:ascii="Arial" w:eastAsia="Arial" w:hAnsi="Arial" w:cs="Arial"/>
                <w:sz w:val="20"/>
                <w:szCs w:val="20"/>
              </w:rPr>
              <w:br/>
              <w:t>Trade Promotions and Lotteries Pty Ltd</w:t>
            </w:r>
            <w:r w:rsidRPr="00E1183C">
              <w:rPr>
                <w:rFonts w:ascii="Arial" w:eastAsia="Arial" w:hAnsi="Arial" w:cs="Arial"/>
                <w:sz w:val="20"/>
                <w:szCs w:val="20"/>
              </w:rPr>
              <w:br/>
              <w:t>Level 2</w:t>
            </w:r>
            <w:r w:rsidRPr="00E1183C">
              <w:rPr>
                <w:rFonts w:ascii="Arial" w:eastAsia="Arial" w:hAnsi="Arial" w:cs="Arial"/>
                <w:sz w:val="20"/>
                <w:szCs w:val="20"/>
              </w:rPr>
              <w:br/>
              <w:t>11 York Street</w:t>
            </w:r>
            <w:r w:rsidRPr="00E1183C">
              <w:rPr>
                <w:rFonts w:ascii="Arial" w:eastAsia="Arial" w:hAnsi="Arial" w:cs="Arial"/>
                <w:sz w:val="20"/>
                <w:szCs w:val="20"/>
              </w:rPr>
              <w:br/>
              <w:t xml:space="preserve">Sydney NSW 2000 </w:t>
            </w:r>
          </w:p>
        </w:tc>
      </w:tr>
      <w:tr w:rsidR="001E5091" w14:paraId="4481B8ED"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2200611A"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 xml:space="preserve">Notification of winners </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0399F612" w14:textId="77777777"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 xml:space="preserve">Winner will be notified via </w:t>
            </w:r>
            <w:proofErr w:type="gramStart"/>
            <w:r w:rsidRPr="00E1183C">
              <w:rPr>
                <w:rFonts w:ascii="Arial" w:eastAsia="Arial" w:hAnsi="Arial" w:cs="Arial"/>
                <w:sz w:val="20"/>
                <w:szCs w:val="20"/>
              </w:rPr>
              <w:t>Email</w:t>
            </w:r>
            <w:proofErr w:type="gramEnd"/>
            <w:r w:rsidRPr="00E1183C">
              <w:rPr>
                <w:rFonts w:ascii="Arial" w:eastAsia="Arial" w:hAnsi="Arial" w:cs="Arial"/>
                <w:sz w:val="20"/>
                <w:szCs w:val="20"/>
              </w:rPr>
              <w:t xml:space="preserve"> &amp; phone no later than 08 Oct 2025.</w:t>
            </w:r>
          </w:p>
        </w:tc>
      </w:tr>
      <w:tr w:rsidR="001E5091" w14:paraId="51A66F5A"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3FA03244"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Public announcement of winners</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7FB53031" w14:textId="77777777"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The winner of all prizes will be published here:</w:t>
            </w:r>
          </w:p>
          <w:p w14:paraId="6506D1AB" w14:textId="77777777"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https://www.theiconic.com.au/promotions-competitions on 13 Oct 2025</w:t>
            </w:r>
          </w:p>
        </w:tc>
      </w:tr>
      <w:tr w:rsidR="001E5091" w14:paraId="45028531"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790AAE8D"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Unclaimed prize draw</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29D755C7" w14:textId="7AB822FB"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A random unclaimed prize draw will occur at 12:00 PM</w:t>
            </w:r>
            <w:r w:rsidR="00E1183C" w:rsidRPr="00E1183C">
              <w:rPr>
                <w:rFonts w:ascii="Arial" w:eastAsia="Arial" w:hAnsi="Arial" w:cs="Arial"/>
                <w:sz w:val="20"/>
                <w:szCs w:val="20"/>
              </w:rPr>
              <w:t xml:space="preserve"> AEDT</w:t>
            </w:r>
            <w:r w:rsidRPr="00E1183C">
              <w:rPr>
                <w:rFonts w:ascii="Arial" w:eastAsia="Arial" w:hAnsi="Arial" w:cs="Arial"/>
                <w:sz w:val="20"/>
                <w:szCs w:val="20"/>
              </w:rPr>
              <w:t xml:space="preserve"> on 12 Jan 2026</w:t>
            </w:r>
            <w:r w:rsidRPr="00E1183C">
              <w:rPr>
                <w:rFonts w:ascii="Arial" w:eastAsia="Arial" w:hAnsi="Arial" w:cs="Arial"/>
                <w:sz w:val="20"/>
                <w:szCs w:val="20"/>
              </w:rPr>
              <w:br/>
            </w:r>
            <w:r w:rsidRPr="00E1183C">
              <w:rPr>
                <w:rFonts w:ascii="Arial" w:eastAsia="Arial" w:hAnsi="Arial" w:cs="Arial"/>
                <w:sz w:val="20"/>
                <w:szCs w:val="20"/>
              </w:rPr>
              <w:br/>
              <w:t>Location of draw:</w:t>
            </w:r>
            <w:r w:rsidRPr="00E1183C">
              <w:rPr>
                <w:rFonts w:ascii="Arial" w:eastAsia="Arial" w:hAnsi="Arial" w:cs="Arial"/>
                <w:sz w:val="20"/>
                <w:szCs w:val="20"/>
              </w:rPr>
              <w:br/>
              <w:t>Trade Promotions and Lotteries Pty Ltd</w:t>
            </w:r>
            <w:r w:rsidRPr="00E1183C">
              <w:rPr>
                <w:rFonts w:ascii="Arial" w:eastAsia="Arial" w:hAnsi="Arial" w:cs="Arial"/>
                <w:sz w:val="20"/>
                <w:szCs w:val="20"/>
              </w:rPr>
              <w:br/>
              <w:t>Level 2</w:t>
            </w:r>
            <w:r w:rsidRPr="00E1183C">
              <w:rPr>
                <w:rFonts w:ascii="Arial" w:eastAsia="Arial" w:hAnsi="Arial" w:cs="Arial"/>
                <w:sz w:val="20"/>
                <w:szCs w:val="20"/>
              </w:rPr>
              <w:br/>
              <w:t>11 York Street</w:t>
            </w:r>
            <w:r w:rsidRPr="00E1183C">
              <w:rPr>
                <w:rFonts w:ascii="Arial" w:eastAsia="Arial" w:hAnsi="Arial" w:cs="Arial"/>
                <w:sz w:val="20"/>
                <w:szCs w:val="20"/>
              </w:rPr>
              <w:br/>
              <w:t>Sydney NSW 2000</w:t>
            </w:r>
          </w:p>
        </w:tc>
      </w:tr>
      <w:tr w:rsidR="001E5091" w14:paraId="3AE957C6"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0CBC70BC"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Notification of unclaimed prize winners</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343D9E29" w14:textId="0522FA3D"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 xml:space="preserve">Unclaimed prize winner will be notified via </w:t>
            </w:r>
            <w:proofErr w:type="gramStart"/>
            <w:r w:rsidRPr="00E1183C">
              <w:rPr>
                <w:rFonts w:ascii="Arial" w:eastAsia="Arial" w:hAnsi="Arial" w:cs="Arial"/>
                <w:sz w:val="20"/>
                <w:szCs w:val="20"/>
              </w:rPr>
              <w:t>Email</w:t>
            </w:r>
            <w:proofErr w:type="gramEnd"/>
            <w:r w:rsidRPr="00E1183C">
              <w:rPr>
                <w:rFonts w:ascii="Arial" w:eastAsia="Arial" w:hAnsi="Arial" w:cs="Arial"/>
                <w:sz w:val="20"/>
                <w:szCs w:val="20"/>
              </w:rPr>
              <w:t xml:space="preserve"> &amp; phone no later than 14 Jan 2026.</w:t>
            </w:r>
          </w:p>
        </w:tc>
      </w:tr>
      <w:tr w:rsidR="001E5091" w14:paraId="3B35A559" w14:textId="77777777" w:rsidTr="00E1183C">
        <w:trPr>
          <w:trHeight w:val="225"/>
        </w:trPr>
        <w:tc>
          <w:tcPr>
            <w:tcW w:w="2410"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24D90858" w14:textId="77777777" w:rsidR="001E5091" w:rsidRDefault="00000000">
            <w:pPr>
              <w:spacing w:after="240" w:line="240" w:lineRule="auto"/>
              <w:rPr>
                <w:rFonts w:ascii="Arial" w:eastAsia="Arial" w:hAnsi="Arial" w:cs="Arial"/>
                <w:b/>
                <w:sz w:val="20"/>
                <w:szCs w:val="20"/>
              </w:rPr>
            </w:pPr>
            <w:r>
              <w:rPr>
                <w:rFonts w:ascii="Arial" w:eastAsia="Arial" w:hAnsi="Arial" w:cs="Arial"/>
                <w:b/>
                <w:sz w:val="20"/>
                <w:szCs w:val="20"/>
              </w:rPr>
              <w:t>Public announcement of winners from unclaimed prize draw</w:t>
            </w:r>
          </w:p>
        </w:tc>
        <w:tc>
          <w:tcPr>
            <w:tcW w:w="7238" w:type="dxa"/>
            <w:tcBorders>
              <w:top w:val="single" w:sz="6" w:space="0" w:color="AEADAD"/>
              <w:left w:val="single" w:sz="6" w:space="0" w:color="AEADAD"/>
              <w:bottom w:val="single" w:sz="6" w:space="0" w:color="AEADAD"/>
              <w:right w:val="single" w:sz="6" w:space="0" w:color="AEADAD"/>
            </w:tcBorders>
            <w:shd w:val="clear" w:color="auto" w:fill="auto"/>
            <w:tcMar>
              <w:top w:w="75" w:type="dxa"/>
              <w:left w:w="150" w:type="dxa"/>
              <w:bottom w:w="75" w:type="dxa"/>
              <w:right w:w="150" w:type="dxa"/>
            </w:tcMar>
          </w:tcPr>
          <w:p w14:paraId="3521E166" w14:textId="77777777"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The winner of all unclaimed prizes will be published here:</w:t>
            </w:r>
          </w:p>
          <w:p w14:paraId="6FD0E031" w14:textId="29E69DCD" w:rsidR="001E5091" w:rsidRPr="00E1183C" w:rsidRDefault="00000000">
            <w:pPr>
              <w:spacing w:after="240" w:line="240" w:lineRule="auto"/>
              <w:rPr>
                <w:rFonts w:ascii="Arial" w:eastAsia="Arial" w:hAnsi="Arial" w:cs="Arial"/>
                <w:sz w:val="20"/>
                <w:szCs w:val="20"/>
              </w:rPr>
            </w:pPr>
            <w:r w:rsidRPr="00E1183C">
              <w:rPr>
                <w:rFonts w:ascii="Arial" w:eastAsia="Arial" w:hAnsi="Arial" w:cs="Arial"/>
                <w:sz w:val="20"/>
                <w:szCs w:val="20"/>
              </w:rPr>
              <w:t>https://www.theiconic.com.au/promotions-competitions by 19 Jan 2026</w:t>
            </w:r>
          </w:p>
        </w:tc>
      </w:tr>
    </w:tbl>
    <w:p w14:paraId="40FF140A" w14:textId="77777777" w:rsidR="001E5091" w:rsidRDefault="001E5091">
      <w:pPr>
        <w:spacing w:after="240"/>
        <w:rPr>
          <w:rFonts w:ascii="Arial" w:eastAsia="Arial" w:hAnsi="Arial" w:cs="Arial"/>
        </w:rPr>
      </w:pPr>
    </w:p>
    <w:p w14:paraId="14B0A4F8" w14:textId="77777777" w:rsidR="001E5091" w:rsidRDefault="00000000">
      <w:pPr>
        <w:rPr>
          <w:rFonts w:ascii="Arial" w:eastAsia="Arial" w:hAnsi="Arial" w:cs="Arial"/>
        </w:rPr>
      </w:pPr>
      <w:r>
        <w:br w:type="page"/>
      </w:r>
      <w:r>
        <w:rPr>
          <w:rFonts w:ascii="Arial" w:eastAsia="Arial" w:hAnsi="Arial" w:cs="Arial"/>
          <w:b/>
        </w:rPr>
        <w:lastRenderedPageBreak/>
        <w:t>Terms &amp; Conditions of entry</w:t>
      </w:r>
    </w:p>
    <w:p w14:paraId="57B56FB2" w14:textId="77777777" w:rsidR="001E5091" w:rsidRDefault="00000000">
      <w:pPr>
        <w:numPr>
          <w:ilvl w:val="0"/>
          <w:numId w:val="1"/>
        </w:numPr>
        <w:spacing w:before="280" w:after="240"/>
        <w:rPr>
          <w:rFonts w:ascii="Arial" w:eastAsia="Arial" w:hAnsi="Arial" w:cs="Arial"/>
          <w:sz w:val="20"/>
          <w:szCs w:val="20"/>
        </w:rPr>
      </w:pPr>
      <w:r>
        <w:rPr>
          <w:rFonts w:ascii="Arial" w:eastAsia="Arial" w:hAnsi="Arial" w:cs="Arial"/>
          <w:sz w:val="20"/>
          <w:szCs w:val="20"/>
        </w:rPr>
        <w:t>Information on how to enter and prize details form part of these terms &amp; conditions (</w:t>
      </w:r>
      <w:r>
        <w:rPr>
          <w:rFonts w:ascii="Arial" w:eastAsia="Arial" w:hAnsi="Arial" w:cs="Arial"/>
          <w:b/>
          <w:sz w:val="20"/>
          <w:szCs w:val="20"/>
        </w:rPr>
        <w:t>Terms of entry</w:t>
      </w:r>
      <w:r>
        <w:rPr>
          <w:rFonts w:ascii="Arial" w:eastAsia="Arial" w:hAnsi="Arial" w:cs="Arial"/>
          <w:sz w:val="20"/>
          <w:szCs w:val="20"/>
        </w:rPr>
        <w:t xml:space="preserve">). The Terms must be read in conjunction with the Schedule. The Schedule defines the terminology used in these Terms of entry. Where there is any inconsistency between these Terms and the Schedule, the Schedule prevails. </w:t>
      </w:r>
      <w:r>
        <w:rPr>
          <w:rFonts w:ascii="Arial" w:eastAsia="Arial" w:hAnsi="Arial" w:cs="Arial"/>
          <w:color w:val="000000"/>
          <w:sz w:val="20"/>
          <w:szCs w:val="20"/>
          <w:highlight w:val="white"/>
        </w:rPr>
        <w:t> Participation in this Promotion is deemed acceptance of these Terms of entry.</w:t>
      </w:r>
    </w:p>
    <w:p w14:paraId="668AE2F1"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Entry is open only to legal residents of the Eligible States/Territories who satisfy the Method of entry. Directors, officers, management, employees, suppliers (including prize suppliers) and contractors (and the immediate families of directors, officers, management, employees, suppliers  and contractors) of the Promoter and of its related bodies corporate, and of the agencies and companies associated with this Promotion, including the competition permit</w:t>
      </w:r>
      <w:r>
        <w:rPr>
          <w:rFonts w:ascii="Arial" w:eastAsia="Arial" w:hAnsi="Arial" w:cs="Arial"/>
          <w:color w:val="000000"/>
          <w:sz w:val="20"/>
          <w:szCs w:val="20"/>
        </w:rPr>
        <w:t xml:space="preserve"> </w:t>
      </w:r>
      <w:r>
        <w:rPr>
          <w:rFonts w:ascii="Arial" w:eastAsia="Arial" w:hAnsi="Arial" w:cs="Arial"/>
          <w:sz w:val="20"/>
          <w:szCs w:val="20"/>
        </w:rPr>
        <w:t xml:space="preserve">providers </w:t>
      </w:r>
      <w:hyperlink r:id="rId7">
        <w:r>
          <w:rPr>
            <w:rFonts w:ascii="Arial" w:eastAsia="Arial" w:hAnsi="Arial" w:cs="Arial"/>
            <w:color w:val="000000"/>
            <w:sz w:val="20"/>
            <w:szCs w:val="20"/>
          </w:rPr>
          <w:t>TPAL</w:t>
        </w:r>
      </w:hyperlink>
      <w:r>
        <w:rPr>
          <w:rFonts w:ascii="Arial" w:eastAsia="Arial" w:hAnsi="Arial" w:cs="Arial"/>
          <w:color w:val="000000"/>
          <w:sz w:val="20"/>
          <w:szCs w:val="20"/>
        </w:rPr>
        <w:t xml:space="preserve"> (Trade Promotions and Lotteries Pty Ltd)</w:t>
      </w:r>
      <w:r>
        <w:rPr>
          <w:rFonts w:ascii="Arial" w:eastAsia="Arial" w:hAnsi="Arial" w:cs="Arial"/>
          <w:sz w:val="20"/>
          <w:szCs w:val="20"/>
        </w:rPr>
        <w:t xml:space="preserve"> are ineligible to enter. Immediate family means any of the following: spouse, ex-spouse, child or step-child (whether natural or by adoption), parent, step-parent, grandparent, step-grandparent, uncle, aunt, niece, nephew, brother, sister, step-brother, step-sister or first cousin.</w:t>
      </w:r>
    </w:p>
    <w:p w14:paraId="79312B3D"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The Promotion will be conducted during the Promotion period. </w:t>
      </w:r>
    </w:p>
    <w:p w14:paraId="6E54AE61"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time zone applicable to any time stated, relates to the state or territory where the Promoter is located, unless expressly stated to the contrary.</w:t>
      </w:r>
    </w:p>
    <w:p w14:paraId="41B2BCBE"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The Prize/s are specified in the Details of prizes section of the Schedule. </w:t>
      </w:r>
    </w:p>
    <w:p w14:paraId="00FFA875"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The total prize pool is specified in the Total prize value section of the Schedule. </w:t>
      </w:r>
    </w:p>
    <w:p w14:paraId="6AEE4567"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Any prize is valued in Australian dollars unless expressly stated to the contrary.</w:t>
      </w:r>
    </w:p>
    <w:p w14:paraId="51E96366"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Prizes involving travel must be taken to coincide with the dates specified in the Details of prizes section of the Schedule or as otherwise specified in the conditions of any </w:t>
      </w:r>
      <w:proofErr w:type="gramStart"/>
      <w:r>
        <w:rPr>
          <w:rFonts w:ascii="Arial" w:eastAsia="Arial" w:hAnsi="Arial" w:cs="Arial"/>
          <w:sz w:val="20"/>
          <w:szCs w:val="20"/>
        </w:rPr>
        <w:t>third party</w:t>
      </w:r>
      <w:proofErr w:type="gramEnd"/>
      <w:r>
        <w:rPr>
          <w:rFonts w:ascii="Arial" w:eastAsia="Arial" w:hAnsi="Arial" w:cs="Arial"/>
          <w:sz w:val="20"/>
          <w:szCs w:val="20"/>
        </w:rPr>
        <w:t xml:space="preserve"> travel provider. Any changes to the confirmed prize details will be at the expense of the winner(s) and will only be permitted with the prior consent of the Promoter or </w:t>
      </w:r>
      <w:proofErr w:type="gramStart"/>
      <w:r>
        <w:rPr>
          <w:rFonts w:ascii="Arial" w:eastAsia="Arial" w:hAnsi="Arial" w:cs="Arial"/>
          <w:sz w:val="20"/>
          <w:szCs w:val="20"/>
        </w:rPr>
        <w:t>third party</w:t>
      </w:r>
      <w:proofErr w:type="gramEnd"/>
      <w:r>
        <w:rPr>
          <w:rFonts w:ascii="Arial" w:eastAsia="Arial" w:hAnsi="Arial" w:cs="Arial"/>
          <w:sz w:val="20"/>
          <w:szCs w:val="20"/>
        </w:rPr>
        <w:t xml:space="preserve"> travel provider.</w:t>
      </w:r>
    </w:p>
    <w:p w14:paraId="0197237D"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Unless otherwise stated, any travel prize does not include travel insurance, travel documents, meals, taxes not included in the price of the ticket, transfers, flights, accommodation or any other costs of a personal nature. Compliance with any health, travel insurance, passport or other government requirements is the responsibility of the prize winner. Failure to comply with this will deem the winner’s entry invalid and the entrant will forfeit the prize. The Promoter makes no representation as to the safety, conditions or other issues that may exist as part of the travel or at the destination.</w:t>
      </w:r>
    </w:p>
    <w:p w14:paraId="1E392750"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Prize travel is subject to availability at the time of booking. The winner and, if applicable, their companion must travel together on all prize travel. The Promoter is not responsible for any cancellation, delay or rescheduling of flights, and any costs incurred as a result (including, without limitation, accommodation costs) will be the sole responsibility of the winner.</w:t>
      </w:r>
    </w:p>
    <w:p w14:paraId="11A5E4AF" w14:textId="77777777" w:rsidR="001E5091" w:rsidRDefault="001E5091">
      <w:pPr>
        <w:pBdr>
          <w:top w:val="nil"/>
          <w:left w:val="nil"/>
          <w:bottom w:val="nil"/>
          <w:right w:val="nil"/>
          <w:between w:val="nil"/>
        </w:pBdr>
        <w:spacing w:before="280" w:after="240"/>
        <w:ind w:left="720"/>
        <w:rPr>
          <w:rFonts w:ascii="Arial" w:eastAsia="Arial" w:hAnsi="Arial" w:cs="Arial"/>
          <w:color w:val="000000"/>
          <w:sz w:val="20"/>
          <w:szCs w:val="20"/>
        </w:rPr>
      </w:pPr>
    </w:p>
    <w:p w14:paraId="2442CA88" w14:textId="77777777" w:rsidR="001E5091" w:rsidRDefault="00000000">
      <w:pPr>
        <w:numPr>
          <w:ilvl w:val="0"/>
          <w:numId w:val="1"/>
        </w:numPr>
        <w:spacing w:before="280" w:after="240"/>
        <w:rPr>
          <w:rFonts w:ascii="Arial" w:eastAsia="Arial" w:hAnsi="Arial" w:cs="Arial"/>
          <w:sz w:val="20"/>
          <w:szCs w:val="20"/>
        </w:rPr>
      </w:pPr>
      <w:r>
        <w:rPr>
          <w:rFonts w:ascii="Arial" w:eastAsia="Arial" w:hAnsi="Arial" w:cs="Arial"/>
          <w:sz w:val="20"/>
          <w:szCs w:val="20"/>
        </w:rPr>
        <w:t>All vouchers are valid until the expiry date stated on the voucher or by the provider of the voucher.</w:t>
      </w:r>
    </w:p>
    <w:p w14:paraId="31608109"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lastRenderedPageBreak/>
        <w:t>Entrants agree to comply with any conditions which accompany the Voucher.</w:t>
      </w:r>
    </w:p>
    <w:p w14:paraId="5E430C40"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Neither the Promoter nor the voucher provider is liable for any voucher that has been stolen, forged, lost, damaged or tampered with in any way.</w:t>
      </w:r>
    </w:p>
    <w:p w14:paraId="4D39CA81"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Entrants are advised that tax implications may arise from their prize winnings and they should seek independent financial advice prior to acceptance of their prize(s). The Promoter accepts no responsibility for any tax implications that may arise from accepting a prize.</w:t>
      </w:r>
      <w:r>
        <w:t xml:space="preserve"> </w:t>
      </w:r>
      <w:r>
        <w:rPr>
          <w:rFonts w:ascii="Arial" w:eastAsia="Arial" w:hAnsi="Arial" w:cs="Arial"/>
          <w:sz w:val="20"/>
          <w:szCs w:val="20"/>
        </w:rPr>
        <w:t>Entrants are responsible for any and all expenses that they incur in entering the competition and they will not be reimbursed regardless of whether or not they win the competition.</w:t>
      </w:r>
    </w:p>
    <w:p w14:paraId="3D1A9187"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The entrants must follow the Method of entry during the Promotion period to enter the Promotion. Failure to do so will result in an invalid entry. The Promoter will not advise an Entrant if their entry is deemed invalid. </w:t>
      </w:r>
    </w:p>
    <w:p w14:paraId="3F4DB9A4"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time of entry will be deemed to be the time the entry is received by the Promoter.</w:t>
      </w:r>
    </w:p>
    <w:p w14:paraId="23D79B00"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Entrants may submit up to the Maximum number of entries (if applicable).</w:t>
      </w:r>
    </w:p>
    <w:p w14:paraId="21622159"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Promoter accepts no responsibility for any late, lost, delayed, incomplete, incorrectly submitted, corrupted, illegible or misdirected entries, claims or correspondence whether due to omission, error, alteration, tampering, deletion, theft, destruction, disruption to any communication network or medium, or otherwise including those entries not received by the Promoter for any reason.  The Promoter is not liable for any consequences of user error including (without limitation) costs incurred. No correspondence will be entered into.</w:t>
      </w:r>
    </w:p>
    <w:p w14:paraId="4CA61EB6"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The prize(s) will be awarded to the valid entrant(s) drawn randomly in accordance with the Prize draw details. If a draw is awarding a major prize(s) and minor prize(s), the major prize(s) will be drawn first. If a draw is scheduled on a public holiday, the promoter may choose to instead hold the draw on the first business day after the relevant public holiday. The Promoter may draw additional reserve entries (and record them in order). In the event of an invalid entry or an ineligible entrant, or if the entrant is ineligible to accept the prize, the prize will be awarded to the first reserve entry drawn. If the prize can’t be awarded to the entrant drawn, the promoter will then continue this process until the prize is awarded.  </w:t>
      </w:r>
    </w:p>
    <w:p w14:paraId="1BF4FB9E"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winner does not need to be present at the draw unless expressly stated to the contrary.</w:t>
      </w:r>
    </w:p>
    <w:p w14:paraId="2065AB86"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winner(s) will be notified in accordance with the Notification of winners and Notification of unclaimed prize winners (if applicable) sections of the Schedule. Notification to winners will be deemed to have occurred on the later of the time the winner receives actual notification from the Promoter or two business days thereafter. The notification will include details about how the prize(s) can be claimed.</w:t>
      </w:r>
    </w:p>
    <w:p w14:paraId="77720653"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Promoter takes no responsibility where it is unable to contact prize winners who have not provided correct or complete contact details. If an entrant’s contact details change during the promotional period, it is the entrant's responsibility to notify the Promoter. A request to modify any entry information should be directed to Promoter.</w:t>
      </w:r>
    </w:p>
    <w:p w14:paraId="6C698567"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It is a condition of accepting any prize that the winner must comply with all the conditions of use of the prize and the prize supplier’s requirements. Each prize must be taken as stated and no compensation will be payable if a winner is unable to use the prize as stated.</w:t>
      </w:r>
    </w:p>
    <w:p w14:paraId="272FA5F3"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lastRenderedPageBreak/>
        <w:t xml:space="preserve">The winner(s) first initial, last name and postcode will be published in accordance with the </w:t>
      </w:r>
      <w:proofErr w:type="gramStart"/>
      <w:r>
        <w:rPr>
          <w:rFonts w:ascii="Arial" w:eastAsia="Arial" w:hAnsi="Arial" w:cs="Arial"/>
          <w:sz w:val="20"/>
          <w:szCs w:val="20"/>
        </w:rPr>
        <w:t>Public</w:t>
      </w:r>
      <w:proofErr w:type="gramEnd"/>
      <w:r>
        <w:rPr>
          <w:rFonts w:ascii="Arial" w:eastAsia="Arial" w:hAnsi="Arial" w:cs="Arial"/>
          <w:sz w:val="20"/>
          <w:szCs w:val="20"/>
        </w:rPr>
        <w:t xml:space="preserve"> announcement of </w:t>
      </w:r>
      <w:proofErr w:type="gramStart"/>
      <w:r>
        <w:rPr>
          <w:rFonts w:ascii="Arial" w:eastAsia="Arial" w:hAnsi="Arial" w:cs="Arial"/>
          <w:sz w:val="20"/>
          <w:szCs w:val="20"/>
        </w:rPr>
        <w:t>winners</w:t>
      </w:r>
      <w:proofErr w:type="gramEnd"/>
      <w:r>
        <w:rPr>
          <w:rFonts w:ascii="Arial" w:eastAsia="Arial" w:hAnsi="Arial" w:cs="Arial"/>
          <w:sz w:val="20"/>
          <w:szCs w:val="20"/>
        </w:rPr>
        <w:t xml:space="preserve"> section of the Schedule (if applicable). </w:t>
      </w:r>
    </w:p>
    <w:p w14:paraId="69FE138C"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If the prize(s) has not been claimed by the Unclaimed prize draw time and date and subject to any written directions from a State lottery agency,</w:t>
      </w:r>
      <w:r>
        <w:rPr>
          <w:rFonts w:ascii="Arial" w:eastAsia="Arial" w:hAnsi="Arial" w:cs="Arial"/>
          <w:color w:val="000000"/>
          <w:sz w:val="16"/>
          <w:szCs w:val="16"/>
          <w:highlight w:val="white"/>
        </w:rPr>
        <w:t> </w:t>
      </w:r>
      <w:r>
        <w:rPr>
          <w:rFonts w:ascii="Arial" w:eastAsia="Arial" w:hAnsi="Arial" w:cs="Arial"/>
          <w:color w:val="000000"/>
          <w:sz w:val="20"/>
          <w:szCs w:val="20"/>
          <w:highlight w:val="white"/>
        </w:rPr>
        <w:t>the Promoter may conduct an Unclaimed prize draw in accordance with the Unclaimed prize draw section of the Schedule (if applicable).  In the event the Unclaimed prize draw takes place, the Promoter will attempt to contact the winner(s) of the Unclaimed prize draw in accordance with the Notification of unclaimed prize draw section of the Schedule, and if applicable, the first initial, last name and postcode of residency of any winner(s) of the Unclaimed prize draw will be published in accordance with the section of the Schedule entitled Public announcement of winners from unclaimed prize draw. If a prize is no longer available the promoter may substitute with a prize of higher or equal value subject to any written directions from a regulatory authority.  The promoter is not allowed to deduct any administrative costs associated with provision of the prize.</w:t>
      </w:r>
    </w:p>
    <w:p w14:paraId="5340CB82"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To the greatest extent permitted by law, the Promoter excludes all warranties, representations or guarantees (</w:t>
      </w:r>
      <w:r>
        <w:rPr>
          <w:rFonts w:ascii="Arial" w:eastAsia="Arial" w:hAnsi="Arial" w:cs="Arial"/>
          <w:b/>
          <w:sz w:val="20"/>
          <w:szCs w:val="20"/>
        </w:rPr>
        <w:t>Warranties</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 xml:space="preserve">regarding the Promotion and any prizes, including any Warranties which may have been made in the course of advertising or promoting the Promotion. The conduct of the Promotion or the supply of prizes may involve third parties, and the Promoter makes no Warranties and disclaims all liability in connection with any such third parties, their acts or omissions. By entering the Promotion, an entrant releases and indemnifies the Promoter and its related bodies corporate (including the officers, employees and agents of each) from and against all actions, penalties, liabilities, claims or demands the entrant may have against the Promoter or that the Promoter may incur for any loss or damage which is or may be suffered or sustained as a direct or indirect result of an entrant entering or participating in the Promotion or winning or failing to win a prize, or using or permitting any other person to use the prize, except for any liability which cannot be excluded by law or which would cause any part of this clause to be void or unenforceable. </w:t>
      </w:r>
    </w:p>
    <w:p w14:paraId="77CC1869"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If despite the foregoing clause, the Promoter incurs a liability to an entrant under any law which implies a Warranty into these Terms of entry which cannot legally be excluded, the Promoter’s liability in respect of the Promotion is limited, in the Promoter’s discretion, to either resupplying such goods or services as form part of the Promotion, or paying the cost of resupplying those goods or services.</w:t>
      </w:r>
    </w:p>
    <w:p w14:paraId="6BD15A58"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Without limiting any of the foregoing, in no circumstances will an entrant or the Promoter have any liability to the other for any loss or damage suffered which is indirect or consequential in nature, including without limitation any loss of profit, loss of reputation, loss of goodwill, or loss of business opportunity. </w:t>
      </w:r>
    </w:p>
    <w:p w14:paraId="5983D8E1"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Promoter is not responsible or liable for any dispute between a winner and any person with whom they choose to, or choose not to, share the prize.</w:t>
      </w:r>
    </w:p>
    <w:p w14:paraId="322413C5"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Promoter and its associated agencies and companies will not be liable for any delay, damage, or loss in transit of prizes.</w:t>
      </w:r>
    </w:p>
    <w:p w14:paraId="2D1732DA"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The Promoter may in its absolute discretion not accept a particular entry, may disqualify an entry, or cancel the entire Promotion at any time without giving reasons and without liability to any entrants, subject to any written directions from a regulatory authority. Without limiting this the Promoter reserves the right to verify the validity of entries, prize claims and entrants and to disqualify any entrant who submits an entry or prize claim that is misleading or not in accordance with these Terms of entry or who manipulates or tampers with the entry process. In the event that </w:t>
      </w:r>
      <w:r>
        <w:rPr>
          <w:rFonts w:ascii="Arial" w:eastAsia="Arial" w:hAnsi="Arial" w:cs="Arial"/>
          <w:sz w:val="20"/>
          <w:szCs w:val="20"/>
        </w:rPr>
        <w:lastRenderedPageBreak/>
        <w:t>a winner breaches these Terms of entry, the winner will forfeit the prize in whole and no substitute will be offered. Verification is at the discretion of the Promoter, whose decision is final. Failure by the Promoter to enforce any of its rights at any stage does not constitute a waiver of those rights.</w:t>
      </w:r>
    </w:p>
    <w:p w14:paraId="6E069734"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Prizes, or any unused portion of a prize, are not transferable or exchangeable and cannot be taken as cash. Where a prize is unavailable for any reason, the Promoter may substitute the prize for another item of equal or higher value </w:t>
      </w:r>
      <w:r>
        <w:rPr>
          <w:rFonts w:ascii="Arial" w:eastAsia="Arial" w:hAnsi="Arial" w:cs="Arial"/>
          <w:color w:val="000000"/>
          <w:sz w:val="20"/>
          <w:szCs w:val="20"/>
          <w:highlight w:val="white"/>
        </w:rPr>
        <w:t>subject to any written directions from a regulatory authority</w:t>
      </w:r>
      <w:r>
        <w:rPr>
          <w:rFonts w:ascii="Arial" w:eastAsia="Arial" w:hAnsi="Arial" w:cs="Arial"/>
          <w:sz w:val="20"/>
          <w:szCs w:val="20"/>
        </w:rPr>
        <w:t>. The Promoter accepts no responsibility for any variation in prize value (including between advertising of the Promotion and receipt of the prize).</w:t>
      </w:r>
    </w:p>
    <w:p w14:paraId="0DE3A712"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In the case of the intervention of any outside act, agent or event which prevents or significantly hinders the Promoter’s ability (or that of a third party involved with the Promotion) to proceed with the Promotion on the dates and in the manner described in these Terms of entry, including but not limited to vandalism, natural disasters, acts of God, civil unrest, strike, war, act of terrorism, the Promoter’s obligations in respect of the Promotion will be suspended for the duration of the event and, in addition, the Promoter may in its absolute discretion cancel the promotion and recommence it from the start on the same conditions, subject to approval of the relevant authorities. </w:t>
      </w:r>
    </w:p>
    <w:p w14:paraId="718D16B5"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All entries become the property of the Promoter. As a condition of entering into this Promotion, entrants agree to assign all their rights in and to their entry and any related content to the Promoter, including any copyright or other intellectual property rights in the entry and related content. Without limiting this, the Promoter may use entry content for any and all purposes including commercial purposes. You warrant that entry content is original, lawful and not misleading and that the Promoter’s use of such content will not infringe the rights of any third parties. The Promoter has no obligation to credit you as the author of any content submitted and may otherwise do any acts or omissions which would otherwise constitute an infringement of any moral rights you may have as an author of content.</w:t>
      </w:r>
      <w:r>
        <w:rPr>
          <w:rFonts w:ascii="Arial" w:eastAsia="Arial" w:hAnsi="Arial" w:cs="Arial"/>
          <w:sz w:val="20"/>
          <w:szCs w:val="20"/>
        </w:rPr>
        <w:tab/>
      </w:r>
    </w:p>
    <w:p w14:paraId="4CAD0E4C"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 xml:space="preserve">Entrants consent to the Promoter using the personal information provided in connection with this promotion for the purposes of facilitating the conduct of the promotion and awarding any prizes, including to third parties involved in the promotion and any relevant authorities. In addition to any use that may be outlined in the Promoter’s Privacy Policy, </w:t>
      </w:r>
      <w:r>
        <w:rPr>
          <w:rFonts w:ascii="Arial" w:eastAsia="Arial" w:hAnsi="Arial" w:cs="Arial"/>
          <w:color w:val="222222"/>
          <w:sz w:val="20"/>
          <w:szCs w:val="20"/>
          <w:highlight w:val="white"/>
        </w:rPr>
        <w:t>the Promoter including third parties may, for an indefinite period, unless otherwise advised, use the private information for promotional</w:t>
      </w:r>
      <w:r>
        <w:rPr>
          <w:rFonts w:ascii="Arial" w:eastAsia="Arial" w:hAnsi="Arial" w:cs="Arial"/>
          <w:sz w:val="20"/>
          <w:szCs w:val="20"/>
        </w:rPr>
        <w:t>, marketing, publicity, research and profiling purposes, including sending electronic messages or telephoning the entrant.</w:t>
      </w:r>
    </w:p>
    <w:p w14:paraId="260A4CDB"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collection and disclosure of personal information provided in connection with this promotion will be handled in accordance with the Promoter's Privacy statement which adheres to the Privacy Act 1988 (</w:t>
      </w:r>
      <w:proofErr w:type="spellStart"/>
      <w:r>
        <w:rPr>
          <w:rFonts w:ascii="Arial" w:eastAsia="Arial" w:hAnsi="Arial" w:cs="Arial"/>
          <w:sz w:val="20"/>
          <w:szCs w:val="20"/>
        </w:rPr>
        <w:t>cth</w:t>
      </w:r>
      <w:proofErr w:type="spellEnd"/>
      <w:r>
        <w:rPr>
          <w:rFonts w:ascii="Arial" w:eastAsia="Arial" w:hAnsi="Arial" w:cs="Arial"/>
          <w:sz w:val="20"/>
          <w:szCs w:val="20"/>
        </w:rPr>
        <w:t>) and Australian Privacy Principles.</w:t>
      </w:r>
    </w:p>
    <w:p w14:paraId="74333FD4"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The Promotion and these Terms of entry will be governed by the law of the State or Territory in which the Promoter ordinarily resides. Entrants accept the non-exclusive jurisdiction of courts and tribunals of that State or Territory in connection with disputes concerning the Promotion.</w:t>
      </w:r>
    </w:p>
    <w:p w14:paraId="6D2492C9" w14:textId="77777777" w:rsidR="001E5091" w:rsidRDefault="00000000">
      <w:pPr>
        <w:numPr>
          <w:ilvl w:val="0"/>
          <w:numId w:val="1"/>
        </w:numPr>
        <w:spacing w:after="240"/>
        <w:rPr>
          <w:rFonts w:ascii="Arial" w:eastAsia="Arial" w:hAnsi="Arial" w:cs="Arial"/>
          <w:sz w:val="20"/>
          <w:szCs w:val="20"/>
        </w:rPr>
      </w:pPr>
      <w:r>
        <w:rPr>
          <w:rFonts w:ascii="Arial" w:eastAsia="Arial" w:hAnsi="Arial" w:cs="Arial"/>
          <w:sz w:val="20"/>
          <w:szCs w:val="20"/>
        </w:rPr>
        <w:t>Facebook, YouTube, Instagram, TikTok, or Snapchat may be used to advertise or promote the Promotion. By entering the Promotion, entrants agree that the Promotion is in no way sponsored, endorsed or administered by, or associated with Facebook, YouTube, Instagram, TikTok or Snapchat; and to release Facebook, YouTube, Instagram, TikTok, or Snapchat from all liability in relation to this Promotion. Any questions, comments or complaints regarding the Promotion should be directed to the Promoter and not Facebook, YouTube, Instagram, TikTok, or Snapchat.</w:t>
      </w:r>
    </w:p>
    <w:sectPr w:rsidR="001E509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8D7AF" w14:textId="77777777" w:rsidR="00B846A6" w:rsidRDefault="00B846A6">
      <w:pPr>
        <w:spacing w:after="0" w:line="240" w:lineRule="auto"/>
      </w:pPr>
      <w:r>
        <w:separator/>
      </w:r>
    </w:p>
  </w:endnote>
  <w:endnote w:type="continuationSeparator" w:id="0">
    <w:p w14:paraId="1F3699E3" w14:textId="77777777" w:rsidR="00B846A6" w:rsidRDefault="00B8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4B452" w14:textId="77777777" w:rsidR="001E5091" w:rsidRDefault="00000000">
    <w:pPr>
      <w:pBdr>
        <w:top w:val="nil"/>
        <w:left w:val="nil"/>
        <w:bottom w:val="nil"/>
        <w:right w:val="nil"/>
        <w:between w:val="nil"/>
      </w:pBdr>
      <w:tabs>
        <w:tab w:val="center" w:pos="4513"/>
        <w:tab w:val="right" w:pos="9026"/>
      </w:tabs>
      <w:spacing w:after="0" w:line="240" w:lineRule="auto"/>
      <w:jc w:val="right"/>
      <w:rPr>
        <w:color w:val="000000"/>
        <w:sz w:val="18"/>
        <w:szCs w:val="18"/>
      </w:rPr>
    </w:pPr>
    <w:hyperlink r:id="rId1">
      <w:r>
        <w:rPr>
          <w:color w:val="000000"/>
          <w:sz w:val="16"/>
          <w:szCs w:val="16"/>
        </w:rPr>
        <w:t>© T&amp;Cs by TPAL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8D583" w14:textId="77777777" w:rsidR="00B846A6" w:rsidRDefault="00B846A6">
      <w:pPr>
        <w:spacing w:after="0" w:line="240" w:lineRule="auto"/>
      </w:pPr>
      <w:r>
        <w:separator/>
      </w:r>
    </w:p>
  </w:footnote>
  <w:footnote w:type="continuationSeparator" w:id="0">
    <w:p w14:paraId="756CF839" w14:textId="77777777" w:rsidR="00B846A6" w:rsidRDefault="00B84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352FF"/>
    <w:multiLevelType w:val="multilevel"/>
    <w:tmpl w:val="8892C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4C563E"/>
    <w:multiLevelType w:val="multilevel"/>
    <w:tmpl w:val="E8B89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7440931">
    <w:abstractNumId w:val="1"/>
  </w:num>
  <w:num w:numId="2" w16cid:durableId="182782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91"/>
    <w:rsid w:val="001E5091"/>
    <w:rsid w:val="007F099B"/>
    <w:rsid w:val="00B846A6"/>
    <w:rsid w:val="00E11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36D6"/>
  <w15:docId w15:val="{FB39EF85-6587-4577-89A7-BE081E15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pal.com.au/?utm_source=TCs-chanc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tpal.com.au/?utm_source=TCs-chance-doc&amp;utm_content=f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2595</Words>
  <Characters>14798</Characters>
  <Application>Microsoft Office Word</Application>
  <DocSecurity>0</DocSecurity>
  <Lines>123</Lines>
  <Paragraphs>34</Paragraphs>
  <ScaleCrop>false</ScaleCrop>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 F</cp:lastModifiedBy>
  <cp:revision>2</cp:revision>
  <dcterms:created xsi:type="dcterms:W3CDTF">2025-07-30T03:18:00Z</dcterms:created>
  <dcterms:modified xsi:type="dcterms:W3CDTF">2025-07-30T03:20:00Z</dcterms:modified>
</cp:coreProperties>
</file>